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12644" w:rsidRPr="00812644">
        <w:rPr>
          <w:rFonts w:ascii="Verdana" w:hAnsi="Verdana"/>
          <w:sz w:val="18"/>
          <w:szCs w:val="18"/>
        </w:rPr>
        <w:t xml:space="preserve">„Hněvice dopravní </w:t>
      </w:r>
      <w:proofErr w:type="spellStart"/>
      <w:r w:rsidR="00812644" w:rsidRPr="00812644">
        <w:rPr>
          <w:rFonts w:ascii="Verdana" w:hAnsi="Verdana"/>
          <w:sz w:val="18"/>
          <w:szCs w:val="18"/>
        </w:rPr>
        <w:t>pavilon“</w:t>
      </w:r>
      <w:r w:rsidR="00812644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</w:t>
      </w:r>
      <w:proofErr w:type="spellEnd"/>
      <w:r w:rsidRPr="009618D3">
        <w:rPr>
          <w:rFonts w:ascii="Verdana" w:hAnsi="Verdana"/>
          <w:sz w:val="18"/>
          <w:szCs w:val="18"/>
        </w:rPr>
        <w:t>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2644" w:rsidRPr="008126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2644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BA6276"/>
  <w15:docId w15:val="{A59630D4-DF11-415A-A8F8-F52D7865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AEA47A-C332-4115-BD6E-EBF19954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2024-01-04T07:28:00Z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